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558A" w14:textId="49764A50" w:rsidR="00F66260" w:rsidRDefault="00F66260" w:rsidP="00F66260">
      <w:p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F66260"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  <w:t>The scholarship will cover:</w:t>
      </w:r>
    </w:p>
    <w:p w14:paraId="5A0DCC15" w14:textId="0133C121" w:rsidR="00A31EE6" w:rsidRPr="00F66260" w:rsidRDefault="00A31EE6" w:rsidP="00F66260">
      <w:pPr>
        <w:spacing w:after="100" w:afterAutospacing="1"/>
        <w:rPr>
          <w:rFonts w:ascii="Poppins" w:eastAsia="Times New Roman" w:hAnsi="Poppins" w:cs="Poppins"/>
          <w:color w:val="000000"/>
          <w:sz w:val="27"/>
          <w:szCs w:val="27"/>
          <w:lang w:val="en-US" w:eastAsia="en-GB"/>
        </w:rPr>
      </w:pPr>
      <w:r>
        <w:rPr>
          <w:rFonts w:ascii="Poppins" w:eastAsia="Times New Roman" w:hAnsi="Poppins" w:cs="Poppins"/>
          <w:b/>
          <w:bCs/>
          <w:color w:val="000000"/>
          <w:sz w:val="27"/>
          <w:szCs w:val="27"/>
          <w:lang w:val="en-US" w:eastAsia="en-GB"/>
        </w:rPr>
        <w:t>TAFSA Scholarship will cover the following items:</w:t>
      </w:r>
    </w:p>
    <w:p w14:paraId="05C9A12C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Round-trip flight ticket and visa costs</w:t>
      </w:r>
    </w:p>
    <w:p w14:paraId="4453F3C9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Participation costs such as tuition fees, registration fees and service fees where applicable.</w:t>
      </w:r>
    </w:p>
    <w:p w14:paraId="04583DC7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Insurance coverage (including health, accident, travel, respectively).</w:t>
      </w:r>
    </w:p>
    <w:p w14:paraId="389E7D3A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A settling-in allowance.</w:t>
      </w:r>
    </w:p>
    <w:p w14:paraId="124544B9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A monthly subsistence allowance.</w:t>
      </w:r>
    </w:p>
    <w:p w14:paraId="437AFB71" w14:textId="77777777" w:rsidR="00B55823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A contribution towards the research costs associated with student mobility of 10 months or longer.</w:t>
      </w:r>
    </w:p>
    <w:p w14:paraId="73B23956" w14:textId="71722825" w:rsidR="00F66260" w:rsidRPr="00B55823" w:rsidRDefault="00F66260" w:rsidP="00B55823">
      <w:pPr>
        <w:pStyle w:val="ListParagraph"/>
        <w:numPr>
          <w:ilvl w:val="0"/>
          <w:numId w:val="1"/>
        </w:numPr>
        <w:spacing w:after="100" w:afterAutospacing="1"/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</w:pPr>
      <w:r w:rsidRPr="00B55823">
        <w:rPr>
          <w:rFonts w:ascii="Poppins" w:eastAsia="Times New Roman" w:hAnsi="Poppins" w:cs="Poppins"/>
          <w:color w:val="000000"/>
          <w:sz w:val="27"/>
          <w:szCs w:val="27"/>
          <w:lang w:eastAsia="en-GB"/>
        </w:rPr>
        <w:t>Female master and doctoral scholarship holders will receive an additional allowance corresponding to one month’s subsistence </w:t>
      </w:r>
      <w:r w:rsidRPr="00B55823">
        <w:rPr>
          <w:rFonts w:ascii="Poppins" w:eastAsia="Times New Roman" w:hAnsi="Poppins" w:cs="Poppins"/>
          <w:b/>
          <w:bCs/>
          <w:color w:val="000000"/>
          <w:sz w:val="27"/>
          <w:szCs w:val="27"/>
          <w:lang w:eastAsia="en-GB"/>
        </w:rPr>
        <w:t>per academic year, for mobility equal to or longer than two academic years.</w:t>
      </w:r>
    </w:p>
    <w:tbl>
      <w:tblPr>
        <w:tblpPr w:leftFromText="180" w:rightFromText="180" w:vertAnchor="text" w:horzAnchor="margin" w:tblpY="532"/>
        <w:tblW w:w="8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835"/>
        <w:gridCol w:w="3415"/>
      </w:tblGrid>
      <w:tr w:rsidR="00F66260" w:rsidRPr="00F66260" w14:paraId="30C99A38" w14:textId="77777777" w:rsidTr="00F66260">
        <w:trPr>
          <w:tblHeader/>
        </w:trPr>
        <w:tc>
          <w:tcPr>
            <w:tcW w:w="2397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BDFE6" w14:textId="77777777" w:rsidR="00F66260" w:rsidRPr="00F66260" w:rsidRDefault="00F66260" w:rsidP="00F66260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>Mobility Type</w:t>
            </w: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94CD3" w14:textId="77777777" w:rsidR="00F66260" w:rsidRPr="00F66260" w:rsidRDefault="00F66260" w:rsidP="00F66260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>Monthly Allowance</w:t>
            </w:r>
          </w:p>
        </w:tc>
        <w:tc>
          <w:tcPr>
            <w:tcW w:w="3415" w:type="dxa"/>
            <w:tcBorders>
              <w:top w:val="single" w:sz="6" w:space="0" w:color="CCCCCC"/>
              <w:left w:val="nil"/>
              <w:bottom w:val="single" w:sz="6" w:space="0" w:color="DDDDDD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5256C" w14:textId="77777777" w:rsidR="00F66260" w:rsidRPr="00F66260" w:rsidRDefault="00F66260" w:rsidP="00F66260">
            <w:pPr>
              <w:spacing w:after="240"/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66260">
              <w:rPr>
                <w:rFonts w:ascii="Poppins" w:eastAsia="Times New Roman" w:hAnsi="Poppins" w:cs="Poppins"/>
                <w:b/>
                <w:bCs/>
                <w:color w:val="000000"/>
                <w:sz w:val="22"/>
                <w:szCs w:val="22"/>
                <w:lang w:eastAsia="en-GB"/>
              </w:rPr>
              <w:t>One-Off Settling-in Allowance</w:t>
            </w:r>
          </w:p>
        </w:tc>
      </w:tr>
      <w:tr w:rsidR="00F66260" w:rsidRPr="00F66260" w14:paraId="34578682" w14:textId="77777777" w:rsidTr="00F66260"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E2518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Masters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1DFE3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€ 600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6DCF5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€ 600</w:t>
            </w:r>
          </w:p>
        </w:tc>
      </w:tr>
      <w:tr w:rsidR="00F66260" w:rsidRPr="00F66260" w14:paraId="2D08A9B8" w14:textId="77777777" w:rsidTr="00F66260">
        <w:tc>
          <w:tcPr>
            <w:tcW w:w="23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00B76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Doctorate</w:t>
            </w:r>
          </w:p>
        </w:tc>
        <w:tc>
          <w:tcPr>
            <w:tcW w:w="28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4665C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€ 900</w:t>
            </w:r>
          </w:p>
        </w:tc>
        <w:tc>
          <w:tcPr>
            <w:tcW w:w="3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7D5F9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€ 900</w:t>
            </w:r>
          </w:p>
        </w:tc>
      </w:tr>
      <w:tr w:rsidR="00F66260" w:rsidRPr="00F66260" w14:paraId="06EF2B90" w14:textId="77777777" w:rsidTr="00F66260">
        <w:tc>
          <w:tcPr>
            <w:tcW w:w="239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3BFC6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Staff</w:t>
            </w:r>
          </w:p>
        </w:tc>
        <w:tc>
          <w:tcPr>
            <w:tcW w:w="28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0F728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€ 1,200</w:t>
            </w:r>
          </w:p>
        </w:tc>
        <w:tc>
          <w:tcPr>
            <w:tcW w:w="3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68667" w14:textId="77777777" w:rsidR="00F66260" w:rsidRPr="00F66260" w:rsidRDefault="00F66260" w:rsidP="00F66260">
            <w:pPr>
              <w:spacing w:after="240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F66260">
              <w:rPr>
                <w:rFonts w:ascii="Tahoma" w:eastAsia="Times New Roman" w:hAnsi="Tahoma" w:cs="Tahoma"/>
                <w:color w:val="000000"/>
                <w:lang w:eastAsia="en-GB"/>
              </w:rPr>
              <w:t>—</w:t>
            </w:r>
          </w:p>
        </w:tc>
      </w:tr>
    </w:tbl>
    <w:p w14:paraId="4F935E2D" w14:textId="77777777" w:rsidR="00A31EE6" w:rsidRDefault="00A31EE6" w:rsidP="00A31EE6">
      <w:pPr>
        <w:tabs>
          <w:tab w:val="left" w:pos="3240"/>
        </w:tabs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440DBB67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3BBFA808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44FEFB86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0BFE3132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15CA5C82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66BF0BEB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0B26EE2C" w14:textId="77777777" w:rsidR="00A31EE6" w:rsidRPr="00A31EE6" w:rsidRDefault="00A31EE6" w:rsidP="00A31EE6">
      <w:pPr>
        <w:rPr>
          <w:rFonts w:ascii="Poppins" w:eastAsia="Times New Roman" w:hAnsi="Poppins" w:cs="Poppins"/>
          <w:sz w:val="27"/>
          <w:szCs w:val="27"/>
          <w:lang w:eastAsia="en-GB"/>
        </w:rPr>
      </w:pPr>
    </w:p>
    <w:p w14:paraId="403DF39A" w14:textId="29269D89" w:rsidR="00F66260" w:rsidRDefault="00A31EE6" w:rsidP="00A31EE6">
      <w:pPr>
        <w:tabs>
          <w:tab w:val="left" w:pos="1320"/>
        </w:tabs>
      </w:pPr>
      <w:r>
        <w:rPr>
          <w:rFonts w:ascii="Poppins" w:eastAsia="Times New Roman" w:hAnsi="Poppins" w:cs="Poppins"/>
          <w:sz w:val="27"/>
          <w:szCs w:val="27"/>
          <w:lang w:eastAsia="en-GB"/>
        </w:rPr>
        <w:lastRenderedPageBreak/>
        <w:tab/>
      </w:r>
    </w:p>
    <w:sectPr w:rsidR="00F66260" w:rsidSect="00A31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7932" w14:textId="77777777" w:rsidR="003A1DE6" w:rsidRDefault="003A1DE6" w:rsidP="00A31EE6">
      <w:r>
        <w:separator/>
      </w:r>
    </w:p>
  </w:endnote>
  <w:endnote w:type="continuationSeparator" w:id="0">
    <w:p w14:paraId="4BE806D1" w14:textId="77777777" w:rsidR="003A1DE6" w:rsidRDefault="003A1DE6" w:rsidP="00A3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072C" w14:textId="77777777" w:rsidR="003A1DE6" w:rsidRDefault="003A1DE6" w:rsidP="00A31EE6">
      <w:r>
        <w:separator/>
      </w:r>
    </w:p>
  </w:footnote>
  <w:footnote w:type="continuationSeparator" w:id="0">
    <w:p w14:paraId="30C198D5" w14:textId="77777777" w:rsidR="003A1DE6" w:rsidRDefault="003A1DE6" w:rsidP="00A3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6CB3"/>
    <w:multiLevelType w:val="hybridMultilevel"/>
    <w:tmpl w:val="A89A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60"/>
    <w:rsid w:val="003A1DE6"/>
    <w:rsid w:val="00A31EE6"/>
    <w:rsid w:val="00B55823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8F7ED"/>
  <w15:chartTrackingRefBased/>
  <w15:docId w15:val="{E314CD82-21C2-584E-82BC-66AEFB9F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2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66260"/>
    <w:rPr>
      <w:b/>
      <w:bCs/>
    </w:rPr>
  </w:style>
  <w:style w:type="paragraph" w:styleId="ListParagraph">
    <w:name w:val="List Paragraph"/>
    <w:basedOn w:val="Normal"/>
    <w:uiPriority w:val="34"/>
    <w:qFormat/>
    <w:rsid w:val="00B55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E6"/>
  </w:style>
  <w:style w:type="paragraph" w:styleId="Footer">
    <w:name w:val="footer"/>
    <w:basedOn w:val="Normal"/>
    <w:link w:val="FooterChar"/>
    <w:uiPriority w:val="99"/>
    <w:unhideWhenUsed/>
    <w:rsid w:val="00A31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odongo78@gmail.com</dc:creator>
  <cp:keywords/>
  <dc:description/>
  <cp:lastModifiedBy>odongo78@gmail.com</cp:lastModifiedBy>
  <cp:revision>3</cp:revision>
  <dcterms:created xsi:type="dcterms:W3CDTF">2021-10-24T18:01:00Z</dcterms:created>
  <dcterms:modified xsi:type="dcterms:W3CDTF">2021-10-24T18:10:00Z</dcterms:modified>
</cp:coreProperties>
</file>